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B63" w:rsidRDefault="0067296C" w:rsidP="008C76AC">
      <w:pPr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Science</w:t>
      </w:r>
      <w:r w:rsidR="008C76AC" w:rsidRPr="00AB00CD">
        <w:rPr>
          <w:rFonts w:ascii="Comic Sans MS" w:hAnsi="Comic Sans MS"/>
          <w:sz w:val="24"/>
          <w:u w:val="single"/>
        </w:rPr>
        <w:t xml:space="preserve"> Curriculum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2242"/>
        <w:gridCol w:w="2242"/>
        <w:gridCol w:w="2243"/>
        <w:gridCol w:w="2242"/>
        <w:gridCol w:w="2242"/>
        <w:gridCol w:w="2243"/>
      </w:tblGrid>
      <w:tr w:rsidR="008C76AC" w:rsidTr="00D1616F">
        <w:tc>
          <w:tcPr>
            <w:tcW w:w="1992" w:type="dxa"/>
          </w:tcPr>
          <w:p w:rsidR="008C76AC" w:rsidRPr="000D23B8" w:rsidRDefault="008C76AC" w:rsidP="008C76AC">
            <w:pPr>
              <w:jc w:val="center"/>
              <w:rPr>
                <w:rFonts w:ascii="Comic Sans MS" w:hAnsi="Comic Sans MS"/>
                <w:b/>
                <w:sz w:val="24"/>
              </w:rPr>
            </w:pPr>
          </w:p>
        </w:tc>
        <w:tc>
          <w:tcPr>
            <w:tcW w:w="2242" w:type="dxa"/>
            <w:shd w:val="clear" w:color="auto" w:fill="BA8CDC"/>
          </w:tcPr>
          <w:p w:rsidR="008C76AC" w:rsidRPr="000D23B8" w:rsidRDefault="008C76AC" w:rsidP="008C76A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D23B8">
              <w:rPr>
                <w:rFonts w:ascii="Comic Sans MS" w:hAnsi="Comic Sans MS"/>
                <w:b/>
                <w:sz w:val="24"/>
              </w:rPr>
              <w:t>Autumn 1</w:t>
            </w:r>
          </w:p>
        </w:tc>
        <w:tc>
          <w:tcPr>
            <w:tcW w:w="2242" w:type="dxa"/>
            <w:shd w:val="clear" w:color="auto" w:fill="BA8CDC"/>
          </w:tcPr>
          <w:p w:rsidR="008C76AC" w:rsidRPr="000D23B8" w:rsidRDefault="008C76AC" w:rsidP="008C76A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D23B8">
              <w:rPr>
                <w:rFonts w:ascii="Comic Sans MS" w:hAnsi="Comic Sans MS"/>
                <w:b/>
                <w:sz w:val="24"/>
              </w:rPr>
              <w:t>Autumn 2</w:t>
            </w:r>
          </w:p>
        </w:tc>
        <w:tc>
          <w:tcPr>
            <w:tcW w:w="2243" w:type="dxa"/>
            <w:shd w:val="clear" w:color="auto" w:fill="BA8CDC"/>
          </w:tcPr>
          <w:p w:rsidR="008C76AC" w:rsidRPr="000D23B8" w:rsidRDefault="008C76AC" w:rsidP="008C76A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D23B8">
              <w:rPr>
                <w:rFonts w:ascii="Comic Sans MS" w:hAnsi="Comic Sans MS"/>
                <w:b/>
                <w:sz w:val="24"/>
              </w:rPr>
              <w:t>Spring 1</w:t>
            </w:r>
          </w:p>
        </w:tc>
        <w:tc>
          <w:tcPr>
            <w:tcW w:w="2242" w:type="dxa"/>
            <w:shd w:val="clear" w:color="auto" w:fill="BA8CDC"/>
          </w:tcPr>
          <w:p w:rsidR="008C76AC" w:rsidRPr="000D23B8" w:rsidRDefault="008C76AC" w:rsidP="008C76A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D23B8">
              <w:rPr>
                <w:rFonts w:ascii="Comic Sans MS" w:hAnsi="Comic Sans MS"/>
                <w:b/>
                <w:sz w:val="24"/>
              </w:rPr>
              <w:t>Spring 2</w:t>
            </w:r>
          </w:p>
        </w:tc>
        <w:tc>
          <w:tcPr>
            <w:tcW w:w="2242" w:type="dxa"/>
            <w:shd w:val="clear" w:color="auto" w:fill="BA8CDC"/>
          </w:tcPr>
          <w:p w:rsidR="008C76AC" w:rsidRPr="000D23B8" w:rsidRDefault="008C76AC" w:rsidP="008C76A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D23B8">
              <w:rPr>
                <w:rFonts w:ascii="Comic Sans MS" w:hAnsi="Comic Sans MS"/>
                <w:b/>
                <w:sz w:val="24"/>
              </w:rPr>
              <w:t>Summer 1</w:t>
            </w:r>
          </w:p>
        </w:tc>
        <w:tc>
          <w:tcPr>
            <w:tcW w:w="2243" w:type="dxa"/>
            <w:shd w:val="clear" w:color="auto" w:fill="BA8CDC"/>
          </w:tcPr>
          <w:p w:rsidR="008C76AC" w:rsidRPr="000D23B8" w:rsidRDefault="008C76AC" w:rsidP="008C76AC">
            <w:pPr>
              <w:jc w:val="center"/>
              <w:rPr>
                <w:rFonts w:ascii="Comic Sans MS" w:hAnsi="Comic Sans MS"/>
                <w:b/>
                <w:sz w:val="24"/>
              </w:rPr>
            </w:pPr>
            <w:r w:rsidRPr="000D23B8">
              <w:rPr>
                <w:rFonts w:ascii="Comic Sans MS" w:hAnsi="Comic Sans MS"/>
                <w:b/>
                <w:sz w:val="24"/>
              </w:rPr>
              <w:t>Summer 2</w:t>
            </w:r>
          </w:p>
        </w:tc>
      </w:tr>
      <w:tr w:rsidR="00E42E02" w:rsidTr="00D73655">
        <w:tc>
          <w:tcPr>
            <w:tcW w:w="15446" w:type="dxa"/>
            <w:gridSpan w:val="7"/>
            <w:shd w:val="pct5" w:color="auto" w:fill="auto"/>
          </w:tcPr>
          <w:p w:rsidR="00E42E02" w:rsidRPr="00F67E86" w:rsidRDefault="00E42E02" w:rsidP="00E42E02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F67E86">
              <w:rPr>
                <w:rFonts w:ascii="Comic Sans MS" w:hAnsi="Comic Sans MS"/>
                <w:b/>
                <w:sz w:val="14"/>
                <w:szCs w:val="14"/>
                <w:u w:val="single"/>
              </w:rPr>
              <w:t>Key stage 1 – Scientific skills</w:t>
            </w:r>
          </w:p>
          <w:p w:rsidR="00E42E02" w:rsidRPr="00F67E86" w:rsidRDefault="00E42E02" w:rsidP="00E42E02">
            <w:pPr>
              <w:rPr>
                <w:rFonts w:ascii="Comic Sans MS" w:hAnsi="Comic Sans MS"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>During years 1 and 2, pupils should be taught to use the following practical scientific methods, processes and skills through the teaching of the programme of study content: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asking simple questions and recognising that they can be answered in different ways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observing closely, using simple equipment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performing simple tests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identifying and classifying </w:t>
            </w:r>
          </w:p>
          <w:p w:rsidR="00D73655" w:rsidRPr="00F67E86" w:rsidRDefault="00E42E02" w:rsidP="00D736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using their observations and ideas to suggest answers to questions </w:t>
            </w:r>
          </w:p>
          <w:p w:rsidR="00E42E02" w:rsidRPr="00D73655" w:rsidRDefault="00E42E02" w:rsidP="00D73655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6"/>
                <w:szCs w:val="16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>gathering and recording data to help in answering questions.</w:t>
            </w:r>
          </w:p>
        </w:tc>
      </w:tr>
      <w:tr w:rsidR="001B7CE0" w:rsidTr="00A900E3">
        <w:tc>
          <w:tcPr>
            <w:tcW w:w="1992" w:type="dxa"/>
          </w:tcPr>
          <w:p w:rsidR="001B7CE0" w:rsidRPr="00F67E86" w:rsidRDefault="001B7CE0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2242" w:type="dxa"/>
          </w:tcPr>
          <w:p w:rsidR="001B7CE0" w:rsidRPr="00F67E86" w:rsidRDefault="001B7CE0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Everyday materials</w:t>
            </w:r>
          </w:p>
        </w:tc>
        <w:tc>
          <w:tcPr>
            <w:tcW w:w="2242" w:type="dxa"/>
          </w:tcPr>
          <w:p w:rsidR="001B7CE0" w:rsidRPr="00F67E86" w:rsidRDefault="001B7CE0" w:rsidP="00F67E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Seasonal changes</w:t>
            </w:r>
          </w:p>
        </w:tc>
        <w:tc>
          <w:tcPr>
            <w:tcW w:w="4485" w:type="dxa"/>
            <w:gridSpan w:val="2"/>
          </w:tcPr>
          <w:p w:rsidR="001B7CE0" w:rsidRPr="00F67E86" w:rsidRDefault="001B7CE0" w:rsidP="00F67E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Animals including humans</w:t>
            </w:r>
          </w:p>
        </w:tc>
        <w:tc>
          <w:tcPr>
            <w:tcW w:w="2242" w:type="dxa"/>
          </w:tcPr>
          <w:p w:rsidR="001B7CE0" w:rsidRPr="00F67E86" w:rsidRDefault="001B7CE0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Materials</w:t>
            </w:r>
          </w:p>
        </w:tc>
        <w:tc>
          <w:tcPr>
            <w:tcW w:w="2243" w:type="dxa"/>
          </w:tcPr>
          <w:p w:rsidR="001B7CE0" w:rsidRPr="00F67E86" w:rsidRDefault="001B7CE0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Plants</w:t>
            </w:r>
          </w:p>
        </w:tc>
      </w:tr>
      <w:tr w:rsidR="00A8048D" w:rsidTr="002D2DFA">
        <w:tc>
          <w:tcPr>
            <w:tcW w:w="1992" w:type="dxa"/>
          </w:tcPr>
          <w:p w:rsidR="00A8048D" w:rsidRPr="00F67E86" w:rsidRDefault="00A8048D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4484" w:type="dxa"/>
            <w:gridSpan w:val="2"/>
          </w:tcPr>
          <w:p w:rsidR="00A8048D" w:rsidRPr="00F67E86" w:rsidRDefault="00A8048D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Everyday materials</w:t>
            </w:r>
          </w:p>
          <w:p w:rsidR="00A8048D" w:rsidRPr="00F67E86" w:rsidRDefault="00A8048D" w:rsidP="00DE7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43" w:type="dxa"/>
          </w:tcPr>
          <w:p w:rsidR="00A8048D" w:rsidRPr="00F67E86" w:rsidRDefault="00A8048D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Living things and their habitats</w:t>
            </w:r>
          </w:p>
        </w:tc>
        <w:tc>
          <w:tcPr>
            <w:tcW w:w="2242" w:type="dxa"/>
          </w:tcPr>
          <w:p w:rsidR="00A8048D" w:rsidRPr="00F67E86" w:rsidRDefault="00A8048D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Animals including humans</w:t>
            </w:r>
          </w:p>
        </w:tc>
        <w:tc>
          <w:tcPr>
            <w:tcW w:w="2242" w:type="dxa"/>
          </w:tcPr>
          <w:p w:rsidR="00A8048D" w:rsidRPr="00F67E86" w:rsidRDefault="00A8048D" w:rsidP="003B702B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Plants</w:t>
            </w:r>
          </w:p>
          <w:p w:rsidR="00A8048D" w:rsidRPr="00F67E86" w:rsidRDefault="00A8048D" w:rsidP="003B70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3" w:type="dxa"/>
          </w:tcPr>
          <w:p w:rsidR="00A8048D" w:rsidRPr="00F67E86" w:rsidRDefault="00A8048D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Animals including humans</w:t>
            </w:r>
          </w:p>
        </w:tc>
      </w:tr>
      <w:tr w:rsidR="00E42E02" w:rsidTr="00F67E86">
        <w:trPr>
          <w:trHeight w:val="2158"/>
        </w:trPr>
        <w:tc>
          <w:tcPr>
            <w:tcW w:w="15446" w:type="dxa"/>
            <w:gridSpan w:val="7"/>
            <w:shd w:val="pct5" w:color="auto" w:fill="auto"/>
          </w:tcPr>
          <w:p w:rsidR="00E42E02" w:rsidRPr="00F67E86" w:rsidRDefault="00E42E02" w:rsidP="00E42E02">
            <w:pPr>
              <w:rPr>
                <w:rFonts w:ascii="Comic Sans MS" w:hAnsi="Comic Sans MS"/>
                <w:b/>
                <w:sz w:val="14"/>
                <w:szCs w:val="14"/>
                <w:u w:val="single"/>
              </w:rPr>
            </w:pPr>
            <w:r w:rsidRPr="00F67E86">
              <w:rPr>
                <w:rFonts w:ascii="Comic Sans MS" w:hAnsi="Comic Sans MS"/>
                <w:b/>
                <w:sz w:val="14"/>
                <w:szCs w:val="14"/>
                <w:u w:val="single"/>
              </w:rPr>
              <w:t>Lower Key Stage 2 – Scientific skills</w:t>
            </w:r>
          </w:p>
          <w:p w:rsidR="00E42E02" w:rsidRPr="00F67E86" w:rsidRDefault="00E42E02" w:rsidP="00E42E02">
            <w:pPr>
              <w:rPr>
                <w:rFonts w:ascii="Comic Sans MS" w:hAnsi="Comic Sans MS"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During years 3 and 4, pupils should be taught to use the following practical scientific methods, processes and skills through the teaching of the programme of study content: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asking relevant questions and using different types of scientific enquiries to answer them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setting up simple practical enquiries, comparative and fair tests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making systematic and careful observations and, where appropriate, taking accurate measurements using standard units, using a range of equipment, including thermometers and data loggers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gathering, recording, classifying and presenting data in a variety of ways to help in answering questions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recording findings using simple scientific language, drawings, labelled diagrams, keys, bar charts, and tables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reporting on findings from enquiries, including oral and written explanations, displays or presentations of results and conclusions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 xml:space="preserve">using results to draw simple conclusions, make predictions for new values, suggest improvements and raise further questions 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>identifying differences, similarities or changes related to simple scientific ideas and processes</w:t>
            </w:r>
          </w:p>
          <w:p w:rsidR="00E42E02" w:rsidRPr="00F67E86" w:rsidRDefault="00E42E02" w:rsidP="00E42E02">
            <w:pPr>
              <w:pStyle w:val="ListParagraph"/>
              <w:numPr>
                <w:ilvl w:val="0"/>
                <w:numId w:val="3"/>
              </w:numPr>
              <w:spacing w:after="160"/>
              <w:rPr>
                <w:rFonts w:ascii="Comic Sans MS" w:hAnsi="Comic Sans MS"/>
                <w:b/>
                <w:sz w:val="14"/>
                <w:szCs w:val="14"/>
              </w:rPr>
            </w:pPr>
            <w:r w:rsidRPr="00F67E86">
              <w:rPr>
                <w:rFonts w:ascii="Comic Sans MS" w:hAnsi="Comic Sans MS"/>
                <w:sz w:val="14"/>
                <w:szCs w:val="14"/>
              </w:rPr>
              <w:t>using straightforward scientific evidence to answer questions or to support their findings.</w:t>
            </w:r>
          </w:p>
        </w:tc>
      </w:tr>
      <w:tr w:rsidR="00821B87" w:rsidTr="00062828">
        <w:tc>
          <w:tcPr>
            <w:tcW w:w="1992" w:type="dxa"/>
          </w:tcPr>
          <w:p w:rsidR="00821B87" w:rsidRPr="00F67E86" w:rsidRDefault="00821B87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242" w:type="dxa"/>
          </w:tcPr>
          <w:p w:rsidR="00474D11" w:rsidRPr="00F67E86" w:rsidRDefault="00474D11" w:rsidP="00474D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Rocks</w:t>
            </w:r>
          </w:p>
          <w:p w:rsidR="00245B33" w:rsidRPr="00F67E86" w:rsidRDefault="00245B33" w:rsidP="00245B33">
            <w:pPr>
              <w:rPr>
                <w:rFonts w:ascii="Comic Sans MS" w:hAnsi="Comic Sans MS"/>
                <w:sz w:val="18"/>
                <w:szCs w:val="18"/>
              </w:rPr>
            </w:pPr>
            <w:r w:rsidRPr="00F67E8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</w:tcPr>
          <w:p w:rsidR="00474D11" w:rsidRPr="00F67E86" w:rsidRDefault="00474D11" w:rsidP="00474D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Forces and magnets</w:t>
            </w:r>
          </w:p>
          <w:p w:rsidR="00C74B7E" w:rsidRPr="00F67E86" w:rsidRDefault="00C74B7E" w:rsidP="000801E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3" w:type="dxa"/>
          </w:tcPr>
          <w:p w:rsidR="00245B33" w:rsidRPr="007D789E" w:rsidRDefault="007D789E" w:rsidP="007D78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Animals including humans</w:t>
            </w:r>
          </w:p>
        </w:tc>
        <w:tc>
          <w:tcPr>
            <w:tcW w:w="2242" w:type="dxa"/>
          </w:tcPr>
          <w:p w:rsidR="00474D11" w:rsidRPr="00F67E86" w:rsidRDefault="00474D11" w:rsidP="00474D1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Plants</w:t>
            </w:r>
          </w:p>
          <w:p w:rsidR="00245B33" w:rsidRPr="00F67E86" w:rsidRDefault="00245B33" w:rsidP="00474D1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485" w:type="dxa"/>
            <w:gridSpan w:val="2"/>
          </w:tcPr>
          <w:p w:rsidR="007D789E" w:rsidRDefault="007D789E" w:rsidP="007D789E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Light</w:t>
            </w:r>
          </w:p>
          <w:p w:rsidR="00AB63D8" w:rsidRPr="00F67E86" w:rsidRDefault="00AB63D8" w:rsidP="00AB63D8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21B87" w:rsidTr="00413DD9">
        <w:tc>
          <w:tcPr>
            <w:tcW w:w="1992" w:type="dxa"/>
          </w:tcPr>
          <w:p w:rsidR="00821B87" w:rsidRPr="00F67E86" w:rsidRDefault="00821B87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2242" w:type="dxa"/>
          </w:tcPr>
          <w:p w:rsidR="00821B87" w:rsidRPr="00F67E86" w:rsidRDefault="00821B87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Sound</w:t>
            </w:r>
          </w:p>
          <w:p w:rsidR="002313F9" w:rsidRPr="00F67E86" w:rsidRDefault="002313F9" w:rsidP="00E4552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42" w:type="dxa"/>
          </w:tcPr>
          <w:p w:rsidR="00C74B7E" w:rsidRPr="00F67E86" w:rsidRDefault="00A8048D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States of matter</w:t>
            </w:r>
          </w:p>
        </w:tc>
        <w:tc>
          <w:tcPr>
            <w:tcW w:w="4485" w:type="dxa"/>
            <w:gridSpan w:val="2"/>
          </w:tcPr>
          <w:p w:rsidR="00A8048D" w:rsidRPr="00F67E86" w:rsidRDefault="00A8048D" w:rsidP="00A8048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Electricity</w:t>
            </w:r>
          </w:p>
          <w:p w:rsidR="008C64A0" w:rsidRPr="00F67E86" w:rsidRDefault="008C64A0" w:rsidP="008C64A0">
            <w:pPr>
              <w:rPr>
                <w:rFonts w:ascii="Comic Sans MS" w:hAnsi="Comic Sans MS"/>
                <w:sz w:val="18"/>
                <w:szCs w:val="18"/>
              </w:rPr>
            </w:pPr>
            <w:r w:rsidRPr="00F67E86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242" w:type="dxa"/>
          </w:tcPr>
          <w:p w:rsidR="00E4552B" w:rsidRPr="00F67E86" w:rsidRDefault="00821B87" w:rsidP="00F67E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Living things and their habitats</w:t>
            </w:r>
          </w:p>
        </w:tc>
        <w:tc>
          <w:tcPr>
            <w:tcW w:w="2243" w:type="dxa"/>
          </w:tcPr>
          <w:p w:rsidR="008C64A0" w:rsidRPr="00F67E86" w:rsidRDefault="008C64A0" w:rsidP="00F67E86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A8048D" w:rsidRPr="00F67E86">
              <w:rPr>
                <w:rFonts w:ascii="Comic Sans MS" w:hAnsi="Comic Sans MS"/>
                <w:b/>
                <w:sz w:val="18"/>
                <w:szCs w:val="18"/>
              </w:rPr>
              <w:t>Animals including humans</w:t>
            </w:r>
          </w:p>
        </w:tc>
      </w:tr>
      <w:tr w:rsidR="00D73655" w:rsidTr="00D73655">
        <w:tc>
          <w:tcPr>
            <w:tcW w:w="15446" w:type="dxa"/>
            <w:gridSpan w:val="7"/>
            <w:shd w:val="pct5" w:color="auto" w:fill="auto"/>
          </w:tcPr>
          <w:p w:rsidR="00D73655" w:rsidRPr="00D70750" w:rsidRDefault="00D73655" w:rsidP="00D7365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D70750">
              <w:rPr>
                <w:rFonts w:ascii="Comic Sans MS" w:hAnsi="Comic Sans MS"/>
                <w:b/>
                <w:sz w:val="16"/>
                <w:szCs w:val="16"/>
                <w:u w:val="single"/>
              </w:rPr>
              <w:t>Upper Key Stage 2 – Scientific skills</w:t>
            </w:r>
          </w:p>
          <w:p w:rsidR="00D73655" w:rsidRPr="00D70750" w:rsidRDefault="00D73655" w:rsidP="00D73655">
            <w:pPr>
              <w:rPr>
                <w:rFonts w:ascii="Comic Sans MS" w:hAnsi="Comic Sans MS"/>
                <w:sz w:val="16"/>
                <w:szCs w:val="16"/>
              </w:rPr>
            </w:pPr>
            <w:r w:rsidRPr="00D70750">
              <w:rPr>
                <w:rFonts w:ascii="Comic Sans MS" w:hAnsi="Comic Sans MS"/>
                <w:sz w:val="16"/>
                <w:szCs w:val="16"/>
              </w:rPr>
              <w:t xml:space="preserve">During years 5 and 6, pupils should be taught to use the following practical scientific methods, processes and skills through the teaching of the programme of study content: </w:t>
            </w:r>
          </w:p>
          <w:p w:rsidR="00D73655" w:rsidRPr="00D70750" w:rsidRDefault="00D73655" w:rsidP="00D73655">
            <w:pPr>
              <w:rPr>
                <w:sz w:val="16"/>
                <w:szCs w:val="16"/>
              </w:rPr>
            </w:pPr>
            <w:r w:rsidRPr="00D70750">
              <w:rPr>
                <w:rFonts w:ascii="Comic Sans MS" w:hAnsi="Comic Sans MS"/>
                <w:sz w:val="16"/>
                <w:szCs w:val="16"/>
              </w:rPr>
              <w:t xml:space="preserve">- planning different types of scientific enquiries to answer questions, including recognising and controlling variables where necessary </w:t>
            </w:r>
          </w:p>
          <w:p w:rsidR="00D73655" w:rsidRPr="00D70750" w:rsidRDefault="00D73655" w:rsidP="00D73655">
            <w:pPr>
              <w:rPr>
                <w:sz w:val="16"/>
                <w:szCs w:val="16"/>
              </w:rPr>
            </w:pPr>
            <w:r w:rsidRPr="00D70750">
              <w:rPr>
                <w:sz w:val="16"/>
                <w:szCs w:val="16"/>
              </w:rPr>
              <w:t xml:space="preserve">- </w:t>
            </w:r>
            <w:r w:rsidRPr="00D70750">
              <w:rPr>
                <w:rFonts w:ascii="Comic Sans MS" w:hAnsi="Comic Sans MS"/>
                <w:sz w:val="16"/>
                <w:szCs w:val="16"/>
              </w:rPr>
              <w:t xml:space="preserve">taking measurements, using a range of scientific equipment, with increasing accuracy and precision, taking repeat readings when appropriate </w:t>
            </w:r>
          </w:p>
          <w:p w:rsidR="00D73655" w:rsidRPr="00D70750" w:rsidRDefault="00D73655" w:rsidP="00D73655">
            <w:pPr>
              <w:rPr>
                <w:sz w:val="16"/>
                <w:szCs w:val="16"/>
              </w:rPr>
            </w:pPr>
            <w:r w:rsidRPr="00D70750">
              <w:rPr>
                <w:sz w:val="16"/>
                <w:szCs w:val="16"/>
              </w:rPr>
              <w:t xml:space="preserve">- </w:t>
            </w:r>
            <w:r w:rsidRPr="00D70750">
              <w:rPr>
                <w:rFonts w:ascii="Comic Sans MS" w:hAnsi="Comic Sans MS"/>
                <w:sz w:val="16"/>
                <w:szCs w:val="16"/>
              </w:rPr>
              <w:t xml:space="preserve">recording data and results of increasing complexity using scientific diagrams and labels, classification keys, tables, scatter graphs, bar and line graphs </w:t>
            </w:r>
          </w:p>
          <w:p w:rsidR="00D73655" w:rsidRPr="00D70750" w:rsidRDefault="00D73655" w:rsidP="00D73655">
            <w:pPr>
              <w:rPr>
                <w:sz w:val="16"/>
                <w:szCs w:val="16"/>
              </w:rPr>
            </w:pPr>
            <w:r w:rsidRPr="00D70750">
              <w:rPr>
                <w:sz w:val="16"/>
                <w:szCs w:val="16"/>
              </w:rPr>
              <w:t xml:space="preserve">- </w:t>
            </w:r>
            <w:r w:rsidRPr="00D70750">
              <w:rPr>
                <w:rFonts w:ascii="Comic Sans MS" w:hAnsi="Comic Sans MS"/>
                <w:sz w:val="16"/>
                <w:szCs w:val="16"/>
              </w:rPr>
              <w:t xml:space="preserve">using test results to make predictions to set up further comparative and fair tests </w:t>
            </w:r>
          </w:p>
          <w:p w:rsidR="00D73655" w:rsidRPr="00D70750" w:rsidRDefault="00D73655" w:rsidP="00D73655">
            <w:pPr>
              <w:rPr>
                <w:rFonts w:ascii="Comic Sans MS" w:hAnsi="Comic Sans MS"/>
                <w:sz w:val="16"/>
                <w:szCs w:val="16"/>
              </w:rPr>
            </w:pPr>
            <w:r w:rsidRPr="00D70750">
              <w:rPr>
                <w:sz w:val="16"/>
                <w:szCs w:val="16"/>
              </w:rPr>
              <w:t xml:space="preserve">- </w:t>
            </w:r>
            <w:r w:rsidRPr="00D70750">
              <w:rPr>
                <w:rFonts w:ascii="Comic Sans MS" w:hAnsi="Comic Sans MS"/>
                <w:sz w:val="16"/>
                <w:szCs w:val="16"/>
              </w:rPr>
              <w:t xml:space="preserve">reporting </w:t>
            </w:r>
            <w:r w:rsidR="00F67E86">
              <w:rPr>
                <w:rFonts w:ascii="Comic Sans MS" w:hAnsi="Comic Sans MS"/>
                <w:sz w:val="16"/>
                <w:szCs w:val="16"/>
              </w:rPr>
              <w:t>+</w:t>
            </w:r>
            <w:r w:rsidRPr="00D70750">
              <w:rPr>
                <w:rFonts w:ascii="Comic Sans MS" w:hAnsi="Comic Sans MS"/>
                <w:sz w:val="16"/>
                <w:szCs w:val="16"/>
              </w:rPr>
              <w:t xml:space="preserve"> presenting findings from enquiries, including conclusions, causal relationships </w:t>
            </w:r>
            <w:r w:rsidR="00F67E86">
              <w:rPr>
                <w:rFonts w:ascii="Comic Sans MS" w:hAnsi="Comic Sans MS"/>
                <w:sz w:val="16"/>
                <w:szCs w:val="16"/>
              </w:rPr>
              <w:t>+</w:t>
            </w:r>
            <w:r w:rsidRPr="00D70750">
              <w:rPr>
                <w:rFonts w:ascii="Comic Sans MS" w:hAnsi="Comic Sans MS"/>
                <w:sz w:val="16"/>
                <w:szCs w:val="16"/>
              </w:rPr>
              <w:t xml:space="preserve"> explanations of </w:t>
            </w:r>
            <w:r w:rsidR="00F67E86">
              <w:rPr>
                <w:rFonts w:ascii="Comic Sans MS" w:hAnsi="Comic Sans MS"/>
                <w:sz w:val="16"/>
                <w:szCs w:val="16"/>
              </w:rPr>
              <w:t>+</w:t>
            </w:r>
            <w:r w:rsidRPr="00D70750">
              <w:rPr>
                <w:rFonts w:ascii="Comic Sans MS" w:hAnsi="Comic Sans MS"/>
                <w:sz w:val="16"/>
                <w:szCs w:val="16"/>
              </w:rPr>
              <w:t xml:space="preserve"> degree of trust in results, in oral and written forms such as displays and other presentations </w:t>
            </w:r>
          </w:p>
          <w:p w:rsidR="00D73655" w:rsidRPr="00D70750" w:rsidRDefault="00D73655" w:rsidP="00D7365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70750">
              <w:rPr>
                <w:rFonts w:ascii="Comic Sans MS" w:hAnsi="Comic Sans MS"/>
                <w:sz w:val="16"/>
                <w:szCs w:val="16"/>
              </w:rPr>
              <w:t>- identifying scientific evidence that has been used to support or refute ideas or arguments</w:t>
            </w:r>
          </w:p>
        </w:tc>
      </w:tr>
      <w:tr w:rsidR="00821B87" w:rsidTr="00F67E86">
        <w:trPr>
          <w:trHeight w:val="1147"/>
        </w:trPr>
        <w:tc>
          <w:tcPr>
            <w:tcW w:w="1992" w:type="dxa"/>
          </w:tcPr>
          <w:p w:rsidR="00821B87" w:rsidRPr="00F67E86" w:rsidRDefault="00821B87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2242" w:type="dxa"/>
          </w:tcPr>
          <w:p w:rsidR="00A8048D" w:rsidRPr="00F67E86" w:rsidRDefault="00A8048D" w:rsidP="00A8048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Properties and changes of materials</w:t>
            </w:r>
          </w:p>
          <w:p w:rsidR="00A8048D" w:rsidRPr="00F67E86" w:rsidRDefault="00A8048D" w:rsidP="00A8048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DB3E03" w:rsidRPr="00F67E86" w:rsidRDefault="00DB3E03" w:rsidP="00A8048D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42" w:type="dxa"/>
          </w:tcPr>
          <w:p w:rsidR="009877DC" w:rsidRPr="00F67E86" w:rsidRDefault="00821B87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 xml:space="preserve">Living things and their habitats </w:t>
            </w:r>
          </w:p>
          <w:p w:rsidR="009877DC" w:rsidRPr="00F67E86" w:rsidRDefault="00821B87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Animals including humans</w:t>
            </w:r>
          </w:p>
        </w:tc>
        <w:tc>
          <w:tcPr>
            <w:tcW w:w="2243" w:type="dxa"/>
          </w:tcPr>
          <w:p w:rsidR="00821B87" w:rsidRPr="00F67E86" w:rsidRDefault="00821B87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F</w:t>
            </w:r>
            <w:r w:rsidR="00E87B5A" w:rsidRPr="00F67E86">
              <w:rPr>
                <w:rFonts w:ascii="Comic Sans MS" w:hAnsi="Comic Sans MS"/>
                <w:b/>
                <w:sz w:val="18"/>
                <w:szCs w:val="18"/>
              </w:rPr>
              <w:t>orces</w:t>
            </w:r>
          </w:p>
          <w:p w:rsidR="00DB3E03" w:rsidRPr="00F67E86" w:rsidRDefault="00DB3E03" w:rsidP="00DB3E0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F67E86">
              <w:rPr>
                <w:rFonts w:ascii="Comic Sans MS" w:hAnsi="Comic Sans MS"/>
                <w:sz w:val="18"/>
                <w:szCs w:val="18"/>
              </w:rPr>
              <w:t> </w:t>
            </w:r>
          </w:p>
          <w:p w:rsidR="00DB3E03" w:rsidRPr="00F67E86" w:rsidRDefault="00DB3E03" w:rsidP="00DB3E0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242" w:type="dxa"/>
          </w:tcPr>
          <w:p w:rsidR="00A8048D" w:rsidRPr="00F67E86" w:rsidRDefault="00A8048D" w:rsidP="00A8048D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Earth and space</w:t>
            </w:r>
          </w:p>
          <w:p w:rsidR="00346933" w:rsidRPr="00F67E86" w:rsidRDefault="00346933" w:rsidP="00346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4485" w:type="dxa"/>
            <w:gridSpan w:val="2"/>
          </w:tcPr>
          <w:p w:rsidR="00C74B7E" w:rsidRPr="00F67E86" w:rsidRDefault="00C74B7E" w:rsidP="0052546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C74B7E" w:rsidRPr="00F67E86" w:rsidRDefault="00C74B7E" w:rsidP="0052546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C74B7E" w:rsidRPr="00F67E86" w:rsidRDefault="00C74B7E" w:rsidP="0052546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70750" w:rsidTr="00652CFC">
        <w:tc>
          <w:tcPr>
            <w:tcW w:w="1992" w:type="dxa"/>
          </w:tcPr>
          <w:p w:rsidR="00D70750" w:rsidRPr="00F67E86" w:rsidRDefault="00D70750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  <w:tc>
          <w:tcPr>
            <w:tcW w:w="2242" w:type="dxa"/>
          </w:tcPr>
          <w:p w:rsidR="00D70750" w:rsidRPr="00F67E86" w:rsidRDefault="00D70750" w:rsidP="008C76AC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Electricity</w:t>
            </w:r>
          </w:p>
          <w:p w:rsidR="00D70750" w:rsidRPr="00F67E86" w:rsidRDefault="00D70750" w:rsidP="00D70750">
            <w:pPr>
              <w:widowControl w:val="0"/>
              <w:rPr>
                <w:color w:val="000000"/>
                <w:sz w:val="18"/>
                <w:szCs w:val="18"/>
              </w:rPr>
            </w:pPr>
            <w:r w:rsidRPr="00F67E86">
              <w:rPr>
                <w:sz w:val="18"/>
                <w:szCs w:val="18"/>
              </w:rPr>
              <w:t> </w:t>
            </w:r>
          </w:p>
        </w:tc>
        <w:tc>
          <w:tcPr>
            <w:tcW w:w="2242" w:type="dxa"/>
          </w:tcPr>
          <w:p w:rsidR="00D70750" w:rsidRPr="00F67E86" w:rsidRDefault="00D70750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Light</w:t>
            </w:r>
          </w:p>
        </w:tc>
        <w:tc>
          <w:tcPr>
            <w:tcW w:w="2243" w:type="dxa"/>
          </w:tcPr>
          <w:p w:rsidR="00D70750" w:rsidRPr="00F67E86" w:rsidRDefault="00D70750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Animals including humans</w:t>
            </w:r>
          </w:p>
        </w:tc>
        <w:tc>
          <w:tcPr>
            <w:tcW w:w="2242" w:type="dxa"/>
          </w:tcPr>
          <w:p w:rsidR="00D70750" w:rsidRPr="00F67E86" w:rsidRDefault="00D70750" w:rsidP="00D70750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Living things and their habitats</w:t>
            </w:r>
          </w:p>
        </w:tc>
        <w:tc>
          <w:tcPr>
            <w:tcW w:w="4485" w:type="dxa"/>
            <w:gridSpan w:val="2"/>
          </w:tcPr>
          <w:p w:rsidR="00D70750" w:rsidRPr="00F67E86" w:rsidRDefault="00D70750" w:rsidP="007D789E">
            <w:pPr>
              <w:widowControl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67E86">
              <w:rPr>
                <w:rFonts w:ascii="Comic Sans MS" w:hAnsi="Comic Sans MS"/>
                <w:b/>
                <w:sz w:val="18"/>
                <w:szCs w:val="18"/>
              </w:rPr>
              <w:t>Evolution and inh</w:t>
            </w:r>
            <w:bookmarkStart w:id="0" w:name="_GoBack"/>
            <w:bookmarkEnd w:id="0"/>
            <w:r w:rsidRPr="00F67E86">
              <w:rPr>
                <w:rFonts w:ascii="Comic Sans MS" w:hAnsi="Comic Sans MS"/>
                <w:b/>
                <w:sz w:val="18"/>
                <w:szCs w:val="18"/>
              </w:rPr>
              <w:t>eritance</w:t>
            </w:r>
          </w:p>
          <w:p w:rsidR="00D70750" w:rsidRPr="00F67E86" w:rsidRDefault="00D70750" w:rsidP="00346933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8C76AC" w:rsidRDefault="008C76AC" w:rsidP="0052546B">
      <w:pPr>
        <w:rPr>
          <w:rFonts w:ascii="Comic Sans MS" w:hAnsi="Comic Sans MS"/>
          <w:sz w:val="24"/>
        </w:rPr>
      </w:pPr>
    </w:p>
    <w:p w:rsidR="0052546B" w:rsidRPr="0052546B" w:rsidRDefault="0052546B" w:rsidP="0052546B">
      <w:pPr>
        <w:rPr>
          <w:rFonts w:ascii="Comic Sans MS" w:hAnsi="Comic Sans MS"/>
          <w:sz w:val="18"/>
        </w:rPr>
      </w:pPr>
      <w:r w:rsidRPr="0052546B">
        <w:rPr>
          <w:rFonts w:ascii="Comic Sans MS" w:hAnsi="Comic Sans MS"/>
          <w:sz w:val="18"/>
        </w:rPr>
        <w:lastRenderedPageBreak/>
        <w:t xml:space="preserve">N.B. The order in which units are taught </w:t>
      </w:r>
      <w:r w:rsidR="00EF7C5E">
        <w:rPr>
          <w:rFonts w:ascii="Comic Sans MS" w:hAnsi="Comic Sans MS"/>
          <w:sz w:val="18"/>
        </w:rPr>
        <w:t xml:space="preserve">within a year group </w:t>
      </w:r>
      <w:r w:rsidRPr="0052546B">
        <w:rPr>
          <w:rFonts w:ascii="Comic Sans MS" w:hAnsi="Comic Sans MS"/>
          <w:sz w:val="18"/>
        </w:rPr>
        <w:t xml:space="preserve">may vary from that shown above in order to accommodate particular topics, themed weeks etc. Please see year group termly maps for the most up to date </w:t>
      </w:r>
      <w:r>
        <w:rPr>
          <w:rFonts w:ascii="Comic Sans MS" w:hAnsi="Comic Sans MS"/>
          <w:sz w:val="18"/>
        </w:rPr>
        <w:t>information</w:t>
      </w:r>
      <w:r w:rsidRPr="0052546B">
        <w:rPr>
          <w:rFonts w:ascii="Comic Sans MS" w:hAnsi="Comic Sans MS"/>
          <w:sz w:val="18"/>
        </w:rPr>
        <w:t xml:space="preserve"> about current topics.</w:t>
      </w:r>
    </w:p>
    <w:sectPr w:rsidR="0052546B" w:rsidRPr="0052546B" w:rsidSect="00F67E86">
      <w:headerReference w:type="default" r:id="rId8"/>
      <w:pgSz w:w="16838" w:h="11906" w:orient="landscape"/>
      <w:pgMar w:top="426" w:right="536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3B8" w:rsidRDefault="000D23B8" w:rsidP="000D23B8">
      <w:pPr>
        <w:spacing w:after="0" w:line="240" w:lineRule="auto"/>
      </w:pPr>
      <w:r>
        <w:separator/>
      </w:r>
    </w:p>
  </w:endnote>
  <w:endnote w:type="continuationSeparator" w:id="0">
    <w:p w:rsidR="000D23B8" w:rsidRDefault="000D23B8" w:rsidP="000D2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3B8" w:rsidRDefault="000D23B8" w:rsidP="000D23B8">
      <w:pPr>
        <w:spacing w:after="0" w:line="240" w:lineRule="auto"/>
      </w:pPr>
      <w:r>
        <w:separator/>
      </w:r>
    </w:p>
  </w:footnote>
  <w:footnote w:type="continuationSeparator" w:id="0">
    <w:p w:rsidR="000D23B8" w:rsidRDefault="000D23B8" w:rsidP="000D2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3B8" w:rsidRDefault="00A45BBB">
    <w:pPr>
      <w:pStyle w:val="Header"/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9372600</wp:posOffset>
          </wp:positionH>
          <wp:positionV relativeFrom="paragraph">
            <wp:posOffset>-220980</wp:posOffset>
          </wp:positionV>
          <wp:extent cx="554990" cy="4876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E5C"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9.5pt;margin-top:-26.4pt;width:61.05pt;height:61.05pt;z-index:251658240;mso-position-horizontal-relative:text;mso-position-vertical-relative:text" insetpen="t" o:cliptowrap="t">
          <v:imagedata r:id="rId2" o:title=""/>
        </v:shape>
        <o:OLEObject Type="Embed" ProgID="AcroExch.Document.DC" ShapeID="_x0000_s2049" DrawAspect="Content" ObjectID="_1632035646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F5849"/>
    <w:multiLevelType w:val="hybridMultilevel"/>
    <w:tmpl w:val="46E05F44"/>
    <w:lvl w:ilvl="0" w:tplc="9B94EB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30BDE"/>
    <w:multiLevelType w:val="hybridMultilevel"/>
    <w:tmpl w:val="95A0B638"/>
    <w:lvl w:ilvl="0" w:tplc="18D4F43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DC79DA"/>
    <w:multiLevelType w:val="hybridMultilevel"/>
    <w:tmpl w:val="CE7622C2"/>
    <w:lvl w:ilvl="0" w:tplc="9B94EB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6AC"/>
    <w:rsid w:val="000801E0"/>
    <w:rsid w:val="000D23B8"/>
    <w:rsid w:val="00140E6C"/>
    <w:rsid w:val="00165661"/>
    <w:rsid w:val="001B1AEA"/>
    <w:rsid w:val="001B7CE0"/>
    <w:rsid w:val="002313F9"/>
    <w:rsid w:val="00240779"/>
    <w:rsid w:val="00245B33"/>
    <w:rsid w:val="002D0ECE"/>
    <w:rsid w:val="00312B63"/>
    <w:rsid w:val="00346933"/>
    <w:rsid w:val="003B702B"/>
    <w:rsid w:val="00474D11"/>
    <w:rsid w:val="004F0F77"/>
    <w:rsid w:val="0052546B"/>
    <w:rsid w:val="00551562"/>
    <w:rsid w:val="005855AB"/>
    <w:rsid w:val="00596365"/>
    <w:rsid w:val="00633BB3"/>
    <w:rsid w:val="0067296C"/>
    <w:rsid w:val="00757895"/>
    <w:rsid w:val="00797B5B"/>
    <w:rsid w:val="007D789E"/>
    <w:rsid w:val="00821B87"/>
    <w:rsid w:val="00841ADE"/>
    <w:rsid w:val="008C64A0"/>
    <w:rsid w:val="008C76AC"/>
    <w:rsid w:val="008D5493"/>
    <w:rsid w:val="00900C24"/>
    <w:rsid w:val="00962795"/>
    <w:rsid w:val="00977A8B"/>
    <w:rsid w:val="009877DC"/>
    <w:rsid w:val="009A75EE"/>
    <w:rsid w:val="009E6690"/>
    <w:rsid w:val="00A20F6B"/>
    <w:rsid w:val="00A45BBB"/>
    <w:rsid w:val="00A8048D"/>
    <w:rsid w:val="00AB00CD"/>
    <w:rsid w:val="00AB63D8"/>
    <w:rsid w:val="00B723E8"/>
    <w:rsid w:val="00BF249A"/>
    <w:rsid w:val="00C74B7E"/>
    <w:rsid w:val="00CF3699"/>
    <w:rsid w:val="00D1616F"/>
    <w:rsid w:val="00D70750"/>
    <w:rsid w:val="00D73655"/>
    <w:rsid w:val="00DB3E03"/>
    <w:rsid w:val="00DE29A4"/>
    <w:rsid w:val="00DE5C92"/>
    <w:rsid w:val="00DE7444"/>
    <w:rsid w:val="00E42E02"/>
    <w:rsid w:val="00E4552B"/>
    <w:rsid w:val="00E87B5A"/>
    <w:rsid w:val="00EF17D7"/>
    <w:rsid w:val="00EF7C5E"/>
    <w:rsid w:val="00F67E86"/>
    <w:rsid w:val="00FD4E63"/>
    <w:rsid w:val="00FE2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7B2C16BE"/>
  <w15:chartTrackingRefBased/>
  <w15:docId w15:val="{B3FC6D2E-D074-470E-963E-0C5C93B99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3B8"/>
  </w:style>
  <w:style w:type="paragraph" w:styleId="Footer">
    <w:name w:val="footer"/>
    <w:basedOn w:val="Normal"/>
    <w:link w:val="FooterChar"/>
    <w:uiPriority w:val="99"/>
    <w:unhideWhenUsed/>
    <w:rsid w:val="000D23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3B8"/>
  </w:style>
  <w:style w:type="paragraph" w:styleId="ListParagraph">
    <w:name w:val="List Paragraph"/>
    <w:basedOn w:val="Normal"/>
    <w:uiPriority w:val="34"/>
    <w:qFormat/>
    <w:rsid w:val="00551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EFE9A-9445-4DE7-9C7D-C89C4CC96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3188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Aitken</dc:creator>
  <cp:keywords/>
  <dc:description/>
  <cp:lastModifiedBy>Roxanne Aitken</cp:lastModifiedBy>
  <cp:revision>2</cp:revision>
  <dcterms:created xsi:type="dcterms:W3CDTF">2019-10-08T09:26:00Z</dcterms:created>
  <dcterms:modified xsi:type="dcterms:W3CDTF">2019-10-08T09:26:00Z</dcterms:modified>
</cp:coreProperties>
</file>